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7A" w:rsidRDefault="00D0597A" w:rsidP="00D0597A">
      <w:pPr>
        <w:rPr>
          <w:lang w:eastAsia="ru-RU"/>
        </w:rPr>
      </w:pPr>
      <w:bookmarkStart w:id="0" w:name="_MailOriginal"/>
      <w:r>
        <w:rPr>
          <w:lang w:eastAsia="ru-RU"/>
        </w:rPr>
        <w:t>Уважаемые коллеги!</w:t>
      </w:r>
    </w:p>
    <w:p w:rsidR="00D0597A" w:rsidRDefault="00D0597A" w:rsidP="00D0597A">
      <w:pPr>
        <w:rPr>
          <w:lang w:eastAsia="ru-RU"/>
        </w:rPr>
      </w:pPr>
    </w:p>
    <w:p w:rsidR="00D0597A" w:rsidRDefault="00D0597A" w:rsidP="00D0597A">
      <w:r>
        <w:rPr>
          <w:lang w:eastAsia="ru-RU"/>
        </w:rPr>
        <w:t>ЗАО «</w:t>
      </w:r>
      <w:proofErr w:type="spellStart"/>
      <w:r>
        <w:rPr>
          <w:lang w:eastAsia="ru-RU"/>
        </w:rPr>
        <w:t>БеСТ</w:t>
      </w:r>
      <w:proofErr w:type="spellEnd"/>
      <w:r>
        <w:rPr>
          <w:lang w:eastAsia="ru-RU"/>
        </w:rPr>
        <w:t xml:space="preserve">» (в рамках процедуры запроса коммерческих предложений) просит предоставить Ваше коммерческое предложение </w:t>
      </w:r>
      <w:r>
        <w:t xml:space="preserve">на двухразовое годичное техническое обслуживание </w:t>
      </w:r>
      <w:r>
        <w:rPr>
          <w:lang w:eastAsia="ru-RU"/>
        </w:rPr>
        <w:t>ИБП</w:t>
      </w:r>
      <w:r>
        <w:t xml:space="preserve"> и аварийно-восстановительные работы, при необходимости, по заявке (материалы и комплектующие предоставляются Подрядчиком):</w:t>
      </w:r>
    </w:p>
    <w:p w:rsidR="00D0597A" w:rsidRDefault="00D0597A" w:rsidP="00D0597A">
      <w:r>
        <w:t xml:space="preserve">-  двух источников бесперебойного питания UPS </w:t>
      </w:r>
      <w:proofErr w:type="spellStart"/>
      <w:r>
        <w:t>Socomec</w:t>
      </w:r>
      <w:proofErr w:type="spellEnd"/>
      <w:r>
        <w:t xml:space="preserve"> </w:t>
      </w:r>
      <w:proofErr w:type="spellStart"/>
      <w:r>
        <w:t>Masterys</w:t>
      </w:r>
      <w:proofErr w:type="spellEnd"/>
      <w:r>
        <w:t xml:space="preserve"> 120kVA (</w:t>
      </w:r>
      <w:proofErr w:type="spellStart"/>
      <w:r>
        <w:rPr>
          <w:lang w:eastAsia="ru-RU"/>
        </w:rPr>
        <w:t>г.Минск</w:t>
      </w:r>
      <w:proofErr w:type="spellEnd"/>
      <w:r>
        <w:rPr>
          <w:lang w:eastAsia="ru-RU"/>
        </w:rPr>
        <w:t xml:space="preserve">, ул. </w:t>
      </w:r>
      <w:proofErr w:type="spellStart"/>
      <w:r>
        <w:rPr>
          <w:lang w:eastAsia="ru-RU"/>
        </w:rPr>
        <w:t>Гебелева</w:t>
      </w:r>
      <w:proofErr w:type="spellEnd"/>
      <w:r>
        <w:rPr>
          <w:lang w:eastAsia="ru-RU"/>
        </w:rPr>
        <w:t>, 7);</w:t>
      </w:r>
    </w:p>
    <w:p w:rsidR="00D0597A" w:rsidRDefault="00D0597A" w:rsidP="00D0597A">
      <w:r>
        <w:t xml:space="preserve">-  двух источников бесперебойного питания UPS </w:t>
      </w:r>
      <w:proofErr w:type="spellStart"/>
      <w:r>
        <w:rPr>
          <w:lang w:val="en-US" w:eastAsia="ru-RU"/>
        </w:rPr>
        <w:t>Ch</w:t>
      </w:r>
      <w:r>
        <w:rPr>
          <w:lang w:eastAsia="ru-RU"/>
        </w:rPr>
        <w:t>loride</w:t>
      </w:r>
      <w:proofErr w:type="spellEnd"/>
      <w:r>
        <w:rPr>
          <w:lang w:eastAsia="ru-RU"/>
        </w:rPr>
        <w:t xml:space="preserve"> </w:t>
      </w:r>
      <w:r>
        <w:t>80net 100kVA (</w:t>
      </w:r>
      <w:proofErr w:type="spellStart"/>
      <w:r>
        <w:rPr>
          <w:lang w:eastAsia="ru-RU"/>
        </w:rPr>
        <w:t>г.Минск</w:t>
      </w:r>
      <w:proofErr w:type="spellEnd"/>
      <w:r>
        <w:rPr>
          <w:lang w:eastAsia="ru-RU"/>
        </w:rPr>
        <w:t xml:space="preserve">, ул. </w:t>
      </w:r>
      <w:proofErr w:type="spellStart"/>
      <w:r>
        <w:rPr>
          <w:lang w:eastAsia="ru-RU"/>
        </w:rPr>
        <w:t>Искалиева</w:t>
      </w:r>
      <w:proofErr w:type="spellEnd"/>
      <w:r>
        <w:rPr>
          <w:lang w:eastAsia="ru-RU"/>
        </w:rPr>
        <w:t>, 12/1</w:t>
      </w:r>
      <w:r>
        <w:t>).</w:t>
      </w:r>
    </w:p>
    <w:p w:rsidR="00D0597A" w:rsidRDefault="00D0597A" w:rsidP="00D0597A"/>
    <w:p w:rsidR="00D0597A" w:rsidRDefault="00D0597A" w:rsidP="00D0597A">
      <w:r>
        <w:t xml:space="preserve">Срок действия </w:t>
      </w:r>
      <w:proofErr w:type="gramStart"/>
      <w:r>
        <w:t xml:space="preserve">договора  </w:t>
      </w:r>
      <w:r>
        <w:rPr>
          <w:u w:val="single"/>
        </w:rPr>
        <w:t>01.01.2019</w:t>
      </w:r>
      <w:proofErr w:type="gramEnd"/>
      <w:r>
        <w:rPr>
          <w:u w:val="single"/>
        </w:rPr>
        <w:t>-31.12.2019г</w:t>
      </w:r>
      <w:r>
        <w:t>.</w:t>
      </w:r>
    </w:p>
    <w:p w:rsidR="00D0597A" w:rsidRDefault="00D0597A" w:rsidP="00D0597A">
      <w:r>
        <w:t xml:space="preserve">Периодичность </w:t>
      </w:r>
      <w:proofErr w:type="gramStart"/>
      <w:r>
        <w:t>проведения  технического</w:t>
      </w:r>
      <w:proofErr w:type="gramEnd"/>
      <w:r>
        <w:t xml:space="preserve"> обслуживания – 2 раза в год (июнь 2019 года,  декабрь 2019 года).</w:t>
      </w:r>
    </w:p>
    <w:p w:rsidR="00D0597A" w:rsidRDefault="00D0597A" w:rsidP="00D0597A"/>
    <w:p w:rsidR="00D0597A" w:rsidRDefault="00D0597A" w:rsidP="00D0597A"/>
    <w:p w:rsidR="00D0597A" w:rsidRDefault="00D0597A" w:rsidP="00D0597A">
      <w:r>
        <w:rPr>
          <w:b/>
        </w:rPr>
        <w:t>Перечень работ на обслуживание</w:t>
      </w:r>
      <w:r>
        <w:t>:</w:t>
      </w:r>
    </w:p>
    <w:p w:rsidR="00D0597A" w:rsidRDefault="00D0597A" w:rsidP="00D0597A">
      <w:r>
        <w:t xml:space="preserve">1.            Проверка индикации ИБП. </w:t>
      </w:r>
    </w:p>
    <w:p w:rsidR="00D0597A" w:rsidRDefault="00D0597A" w:rsidP="00D0597A">
      <w:r>
        <w:t xml:space="preserve">2.            Анализ "очереди" событий и аварий, хранящихся в памяти ИБП. </w:t>
      </w:r>
    </w:p>
    <w:p w:rsidR="00D0597A" w:rsidRDefault="00D0597A" w:rsidP="00D0597A">
      <w:r>
        <w:t xml:space="preserve">3.            Перевод ИБП в режим работы "байпас". </w:t>
      </w:r>
    </w:p>
    <w:p w:rsidR="00D0597A" w:rsidRDefault="00D0597A" w:rsidP="00D0597A">
      <w:r>
        <w:t xml:space="preserve">4.            Визуальный осмотр блоков </w:t>
      </w:r>
      <w:proofErr w:type="gramStart"/>
      <w:r>
        <w:t>ИБП,  очистка</w:t>
      </w:r>
      <w:proofErr w:type="gramEnd"/>
      <w:r>
        <w:t xml:space="preserve"> блоков от  загрязнения. </w:t>
      </w:r>
    </w:p>
    <w:p w:rsidR="00D0597A" w:rsidRDefault="00D0597A" w:rsidP="00D0597A">
      <w:r>
        <w:t xml:space="preserve">5.            Контроль состояния электрических проводов и соединений. </w:t>
      </w:r>
    </w:p>
    <w:p w:rsidR="00D0597A" w:rsidRDefault="00D0597A" w:rsidP="00D0597A">
      <w:r>
        <w:t xml:space="preserve">6.            Визуальный осмотр силовых предохранителей, автоматических выключателей, </w:t>
      </w:r>
      <w:proofErr w:type="spellStart"/>
      <w:r>
        <w:t>клеммных</w:t>
      </w:r>
      <w:proofErr w:type="spellEnd"/>
      <w:r>
        <w:t xml:space="preserve"> колодок и </w:t>
      </w:r>
      <w:proofErr w:type="spellStart"/>
      <w:r>
        <w:t>шинопроводов</w:t>
      </w:r>
      <w:proofErr w:type="spellEnd"/>
      <w:r>
        <w:t xml:space="preserve">. </w:t>
      </w:r>
    </w:p>
    <w:p w:rsidR="00D0597A" w:rsidRDefault="00D0597A" w:rsidP="00D0597A">
      <w:r>
        <w:t xml:space="preserve">7.            Очистка от пыли силовых предохранителей, автоматических выключателей, </w:t>
      </w:r>
      <w:proofErr w:type="spellStart"/>
      <w:r>
        <w:t>клеммных</w:t>
      </w:r>
      <w:proofErr w:type="spellEnd"/>
      <w:r>
        <w:t xml:space="preserve"> колодок и </w:t>
      </w:r>
      <w:proofErr w:type="spellStart"/>
      <w:r>
        <w:t>шинопроводов</w:t>
      </w:r>
      <w:proofErr w:type="spellEnd"/>
      <w:r>
        <w:t xml:space="preserve">. </w:t>
      </w:r>
    </w:p>
    <w:p w:rsidR="00D0597A" w:rsidRDefault="00D0597A" w:rsidP="00D0597A">
      <w:r>
        <w:t xml:space="preserve">8.            Затяжка контактов силовых предохранителей, автоматических выключателей, </w:t>
      </w:r>
      <w:proofErr w:type="spellStart"/>
      <w:r>
        <w:t>клеммных</w:t>
      </w:r>
      <w:proofErr w:type="spellEnd"/>
      <w:r>
        <w:t xml:space="preserve"> колодок и </w:t>
      </w:r>
      <w:proofErr w:type="spellStart"/>
      <w:r>
        <w:t>шинопроводов</w:t>
      </w:r>
      <w:proofErr w:type="spellEnd"/>
      <w:r>
        <w:t xml:space="preserve">. </w:t>
      </w:r>
    </w:p>
    <w:p w:rsidR="00D0597A" w:rsidRDefault="00D0597A" w:rsidP="00D0597A">
      <w:r>
        <w:t xml:space="preserve">9.            Контроль состояния и работоспособности охлаждающих вентиляторов. </w:t>
      </w:r>
    </w:p>
    <w:p w:rsidR="00D0597A" w:rsidRDefault="00D0597A" w:rsidP="00D0597A">
      <w:r>
        <w:t xml:space="preserve">10.          Замена при необходимости охлаждающих вентиляторов. </w:t>
      </w:r>
    </w:p>
    <w:p w:rsidR="00D0597A" w:rsidRDefault="00D0597A" w:rsidP="00D0597A">
      <w:r>
        <w:t xml:space="preserve">11.          Проверка и регулировка (при необходимости) работы модуля выпрямителя. </w:t>
      </w:r>
    </w:p>
    <w:p w:rsidR="00D0597A" w:rsidRDefault="00D0597A" w:rsidP="00D0597A">
      <w:r>
        <w:t xml:space="preserve">12.          Проверка и регулировка (при необходимости) работы модуля заряда аккумуляторов. </w:t>
      </w:r>
    </w:p>
    <w:p w:rsidR="00D0597A" w:rsidRDefault="00D0597A" w:rsidP="00D0597A">
      <w:r>
        <w:t xml:space="preserve">13.          Проверка и регулировка (при необходимости) работы модуля инвертора. </w:t>
      </w:r>
    </w:p>
    <w:p w:rsidR="00D0597A" w:rsidRDefault="00D0597A" w:rsidP="00D0597A">
      <w:r>
        <w:t>14.          Проверка работы модуля контроля и управления (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). </w:t>
      </w:r>
    </w:p>
    <w:p w:rsidR="00D0597A" w:rsidRDefault="00D0597A" w:rsidP="00D0597A">
      <w:r>
        <w:t xml:space="preserve">15.          Проверка и корректировка (при необходимости) внутренних установок и всех рабочих параметров ИБП. </w:t>
      </w:r>
    </w:p>
    <w:p w:rsidR="00D0597A" w:rsidRDefault="00D0597A" w:rsidP="00D0597A">
      <w:r>
        <w:t xml:space="preserve">16.          Проверка работоспособности системы внутренней диагностики ИБП. </w:t>
      </w:r>
    </w:p>
    <w:p w:rsidR="00D0597A" w:rsidRDefault="00D0597A" w:rsidP="00D0597A">
      <w:r>
        <w:t xml:space="preserve">17.          Проведение измерений значений электрических параметров ИБП и калибровка внутренних измерительных цепей (при необходимости). </w:t>
      </w:r>
    </w:p>
    <w:p w:rsidR="00D0597A" w:rsidRDefault="00D0597A" w:rsidP="00D0597A">
      <w:r>
        <w:t xml:space="preserve">18.          Визуальный осмотр аккумуляторов и силовых соединений на предмет отсутствия утечек электролита, вздутостей и окислившихся контактов (только </w:t>
      </w:r>
      <w:proofErr w:type="spellStart"/>
      <w:r>
        <w:t>Искалиева</w:t>
      </w:r>
      <w:proofErr w:type="spellEnd"/>
      <w:r>
        <w:t xml:space="preserve">). </w:t>
      </w:r>
    </w:p>
    <w:p w:rsidR="00D0597A" w:rsidRDefault="00D0597A" w:rsidP="00D0597A">
      <w:r>
        <w:t xml:space="preserve">19.          Очистка АКБ и силовых соединений от пыли (только </w:t>
      </w:r>
      <w:proofErr w:type="spellStart"/>
      <w:r>
        <w:t>Искалиева</w:t>
      </w:r>
      <w:proofErr w:type="spellEnd"/>
      <w:r>
        <w:t>).</w:t>
      </w:r>
    </w:p>
    <w:p w:rsidR="00D0597A" w:rsidRDefault="00D0597A" w:rsidP="00D0597A">
      <w:r>
        <w:t xml:space="preserve">20.          Затяжка ослабленных контактных соединений АКБ (только </w:t>
      </w:r>
      <w:proofErr w:type="spellStart"/>
      <w:r>
        <w:t>Искалиева</w:t>
      </w:r>
      <w:proofErr w:type="spellEnd"/>
      <w:r>
        <w:t>);</w:t>
      </w:r>
    </w:p>
    <w:p w:rsidR="00D0597A" w:rsidRDefault="00D0597A" w:rsidP="00D0597A">
      <w:r>
        <w:t xml:space="preserve">21.          Измерение значений </w:t>
      </w:r>
      <w:proofErr w:type="gramStart"/>
      <w:r>
        <w:t>напряжения  каждого</w:t>
      </w:r>
      <w:proofErr w:type="gramEnd"/>
      <w:r>
        <w:t xml:space="preserve"> аккумулятора (только </w:t>
      </w:r>
      <w:proofErr w:type="spellStart"/>
      <w:r>
        <w:t>Искалиева</w:t>
      </w:r>
      <w:proofErr w:type="spellEnd"/>
      <w:r>
        <w:t xml:space="preserve">). </w:t>
      </w:r>
    </w:p>
    <w:p w:rsidR="00D0597A" w:rsidRDefault="00D0597A" w:rsidP="00D0597A">
      <w:r>
        <w:t xml:space="preserve">23.          Включение ИБП и проверка всех режимов его работы. </w:t>
      </w:r>
      <w:bookmarkStart w:id="1" w:name="_GoBack"/>
      <w:bookmarkEnd w:id="1"/>
    </w:p>
    <w:p w:rsidR="00D0597A" w:rsidRDefault="00D0597A" w:rsidP="00D0597A">
      <w:r>
        <w:t xml:space="preserve">24.          Перевод ИБП в нормальный режим работ. </w:t>
      </w:r>
    </w:p>
    <w:p w:rsidR="00D0597A" w:rsidRDefault="00D0597A" w:rsidP="00D0597A">
      <w:r>
        <w:t xml:space="preserve">25.          Составление заключения о рабочем </w:t>
      </w:r>
      <w:proofErr w:type="gramStart"/>
      <w:r>
        <w:t>состоянии  ИБП</w:t>
      </w:r>
      <w:proofErr w:type="gramEnd"/>
      <w:r>
        <w:t xml:space="preserve"> и рекомендаций по дальнейшей эксплуатации.</w:t>
      </w:r>
    </w:p>
    <w:p w:rsidR="00D0597A" w:rsidRDefault="00D0597A" w:rsidP="00D0597A">
      <w:r>
        <w:t xml:space="preserve">26.          Обновление лицензионного ПО (при необходимости); </w:t>
      </w:r>
    </w:p>
    <w:p w:rsidR="00D0597A" w:rsidRDefault="00D0597A" w:rsidP="00D0597A">
      <w:r>
        <w:t>27.          Проверка срабатывания аварий на ОМС</w:t>
      </w:r>
    </w:p>
    <w:p w:rsidR="00D0597A" w:rsidRDefault="00D0597A" w:rsidP="00D0597A"/>
    <w:p w:rsidR="00D0597A" w:rsidRDefault="00D0597A" w:rsidP="00D0597A"/>
    <w:p w:rsidR="00D0597A" w:rsidRDefault="00D0597A" w:rsidP="00D0597A">
      <w:r>
        <w:rPr>
          <w:b/>
        </w:rPr>
        <w:t>Требования к организации</w:t>
      </w:r>
      <w:r>
        <w:t>:</w:t>
      </w:r>
    </w:p>
    <w:p w:rsidR="00D0597A" w:rsidRDefault="00D0597A" w:rsidP="00D0597A">
      <w:r>
        <w:t>1.            Опыт работы с вышеуказанными типами ИБП не менее 5 лет;</w:t>
      </w:r>
    </w:p>
    <w:p w:rsidR="00D0597A" w:rsidRDefault="00D0597A" w:rsidP="00D0597A">
      <w:r>
        <w:lastRenderedPageBreak/>
        <w:t xml:space="preserve">2.            Наличие подготовленного и обученного </w:t>
      </w:r>
      <w:proofErr w:type="spellStart"/>
      <w:r>
        <w:t>электротехнологического</w:t>
      </w:r>
      <w:proofErr w:type="spellEnd"/>
      <w:r>
        <w:t xml:space="preserve"> персонала;</w:t>
      </w:r>
    </w:p>
    <w:p w:rsidR="00D0597A" w:rsidRDefault="00D0597A" w:rsidP="00D0597A">
      <w:r>
        <w:t>3.            Наличие ремонтной и технической базы. Обеспечить наличие, в установленные настоящим договором сроки, запасных частей, необходимых для осуществления ремонтных работ в случае выявления необходимости таких работ.</w:t>
      </w:r>
    </w:p>
    <w:p w:rsidR="00D0597A" w:rsidRDefault="00D0597A" w:rsidP="00D0597A">
      <w:pPr>
        <w:rPr>
          <w:color w:val="000000"/>
        </w:rPr>
      </w:pPr>
      <w:r>
        <w:rPr>
          <w:color w:val="000000"/>
        </w:rPr>
        <w:t>4.            Выполнение аварийно-восстановительных и ремонтных работы в течение 2 (двух) рабочих дней, если работы/ремонт не связаны с заменой деталей, запасных частей или если детали, запасные части есть в наличии на складе, или в течение 1 (одного) месяца, если необходимые детали отсутствуют на складе, с момента отправки заявки.</w:t>
      </w:r>
    </w:p>
    <w:p w:rsidR="00D0597A" w:rsidRDefault="00D0597A" w:rsidP="00D0597A">
      <w:r>
        <w:t>5.            Обеспечить круглосуточный режим приема заявок от Заказчика на выполнение аварийно-восстановительных и ремонтных работ.</w:t>
      </w:r>
    </w:p>
    <w:p w:rsidR="00D0597A" w:rsidRDefault="00D0597A" w:rsidP="00D0597A">
      <w:pPr>
        <w:rPr>
          <w:lang w:eastAsia="ru-RU"/>
        </w:rPr>
      </w:pPr>
    </w:p>
    <w:p w:rsidR="00D0597A" w:rsidRDefault="00D0597A" w:rsidP="00D0597A">
      <w:pPr>
        <w:rPr>
          <w:lang w:eastAsia="ru-RU"/>
        </w:rPr>
      </w:pPr>
      <w:r>
        <w:rPr>
          <w:lang w:eastAsia="ru-RU"/>
        </w:rPr>
        <w:t xml:space="preserve">Контактное лицо по уточнению деталей – </w:t>
      </w:r>
      <w:r>
        <w:rPr>
          <w:b/>
          <w:bCs/>
          <w:lang w:eastAsia="ru-RU"/>
        </w:rPr>
        <w:t>Алексей Сильченко +375 (25) 909 04 11</w:t>
      </w:r>
      <w:r>
        <w:rPr>
          <w:lang w:eastAsia="ru-RU"/>
        </w:rPr>
        <w:t>.</w:t>
      </w:r>
    </w:p>
    <w:p w:rsidR="00D0597A" w:rsidRDefault="00D0597A" w:rsidP="00D0597A"/>
    <w:p w:rsidR="00D0597A" w:rsidRDefault="00D0597A" w:rsidP="00D0597A">
      <w:r>
        <w:t xml:space="preserve">Просьба выслать Ваше коммерческое предложение на адрес электронной почты </w:t>
      </w:r>
      <w:hyperlink r:id="rId4" w:history="1">
        <w:r>
          <w:rPr>
            <w:rStyle w:val="a3"/>
            <w:lang w:val="en-US"/>
          </w:rPr>
          <w:t>tender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life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>
        <w:t xml:space="preserve"> с указанием </w:t>
      </w:r>
      <w:r>
        <w:rPr>
          <w:b/>
          <w:bCs/>
        </w:rPr>
        <w:t xml:space="preserve">стоимости, сроков </w:t>
      </w:r>
      <w:proofErr w:type="gramStart"/>
      <w:r>
        <w:rPr>
          <w:b/>
          <w:bCs/>
        </w:rPr>
        <w:t>оплаты</w:t>
      </w:r>
      <w:r>
        <w:t xml:space="preserve">  (</w:t>
      </w:r>
      <w:proofErr w:type="gramEnd"/>
      <w:r>
        <w:t xml:space="preserve">наше предпочтение – оплата по факту выполнения работ в течение 30 дней с даты подписания Акта)  и </w:t>
      </w:r>
      <w:r>
        <w:rPr>
          <w:b/>
          <w:bCs/>
        </w:rPr>
        <w:t xml:space="preserve">подтверждением  заявленных нами сроков выполнения </w:t>
      </w:r>
      <w:r>
        <w:t xml:space="preserve">аварийно-восстановительных и ремонтных работ </w:t>
      </w:r>
      <w:r>
        <w:rPr>
          <w:b/>
          <w:bCs/>
        </w:rPr>
        <w:t> в срок до</w:t>
      </w:r>
      <w:r>
        <w:t xml:space="preserve"> </w:t>
      </w:r>
      <w:r>
        <w:rPr>
          <w:b/>
          <w:bCs/>
        </w:rPr>
        <w:t>14.00  21.11.2018</w:t>
      </w:r>
      <w:r>
        <w:t>.</w:t>
      </w:r>
    </w:p>
    <w:p w:rsidR="00D0597A" w:rsidRDefault="00D0597A" w:rsidP="00D0597A"/>
    <w:p w:rsidR="00D0597A" w:rsidRDefault="00D0597A" w:rsidP="00D0597A">
      <w:pPr>
        <w:rPr>
          <w:lang w:eastAsia="ru-RU"/>
        </w:rPr>
      </w:pPr>
    </w:p>
    <w:p w:rsidR="00D0597A" w:rsidRDefault="00D0597A" w:rsidP="00D0597A">
      <w:pPr>
        <w:rPr>
          <w:lang w:eastAsia="ru-RU"/>
        </w:rPr>
      </w:pPr>
    </w:p>
    <w:p w:rsidR="00D0597A" w:rsidRDefault="00D0597A" w:rsidP="00D0597A">
      <w:pPr>
        <w:rPr>
          <w:lang w:eastAsia="ru-RU"/>
        </w:rPr>
      </w:pPr>
      <w:r>
        <w:rPr>
          <w:lang w:eastAsia="ru-RU"/>
        </w:rP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D0597A" w:rsidTr="00D0597A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A" w:rsidRDefault="00D0597A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  <w:bookmarkStart w:id="2" w:name="_MailAutoSig"/>
          </w:p>
          <w:p w:rsidR="00D0597A" w:rsidRDefault="00D0597A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EABF798" wp14:editId="664668A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A" w:rsidRDefault="00D0597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0597A" w:rsidRDefault="00D0597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D0597A" w:rsidRDefault="00D0597A">
            <w:pPr>
              <w:spacing w:line="276" w:lineRule="auto"/>
              <w:ind w:left="-108" w:right="-108"/>
              <w:rPr>
                <w:rFonts w:asciiTheme="minorHAnsi" w:eastAsiaTheme="minorEastAsia" w:hAnsiTheme="minorHAnsi" w:cstheme="minorBidi"/>
                <w:noProof/>
                <w:lang w:eastAsia="ru-RU"/>
              </w:rPr>
            </w:pPr>
            <w:hyperlink r:id="rId6" w:history="1">
              <w:r>
                <w:rPr>
                  <w:rStyle w:val="a3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u w:val="none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D0597A" w:rsidRDefault="00D0597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D0597A" w:rsidRDefault="00D0597A" w:rsidP="00D0597A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</w:t>
      </w:r>
    </w:p>
    <w:p w:rsidR="00D0597A" w:rsidRDefault="00D0597A" w:rsidP="00D0597A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Политика размещена на сайте </w:t>
      </w:r>
      <w:hyperlink r:id="rId7" w:history="1"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by</w:t>
        </w:r>
      </w:hyperlink>
    </w:p>
    <w:p w:rsidR="00D0597A" w:rsidRDefault="00D0597A" w:rsidP="00D0597A">
      <w:pPr>
        <w:rPr>
          <w:rFonts w:asciiTheme="minorHAnsi" w:eastAsiaTheme="minorEastAsia" w:hAnsiTheme="minorHAnsi" w:cstheme="minorBidi"/>
          <w:noProof/>
          <w:lang w:eastAsia="ru-RU"/>
        </w:rPr>
      </w:pPr>
    </w:p>
    <w:bookmarkEnd w:id="2"/>
    <w:p w:rsidR="00D0597A" w:rsidRDefault="00D0597A" w:rsidP="00D0597A">
      <w:pPr>
        <w:rPr>
          <w:rFonts w:asciiTheme="minorHAnsi" w:hAnsiTheme="minorHAnsi" w:cstheme="minorBidi"/>
        </w:rPr>
      </w:pPr>
    </w:p>
    <w:p w:rsidR="00D0597A" w:rsidRDefault="00D0597A" w:rsidP="00D0597A">
      <w:pPr>
        <w:rPr>
          <w:rFonts w:asciiTheme="minorHAnsi" w:hAnsiTheme="minorHAnsi" w:cstheme="minorBidi"/>
        </w:rPr>
      </w:pPr>
    </w:p>
    <w:p w:rsidR="00D0597A" w:rsidRDefault="00D0597A" w:rsidP="00D0597A">
      <w:pPr>
        <w:rPr>
          <w:rFonts w:asciiTheme="minorHAnsi" w:hAnsiTheme="minorHAnsi" w:cstheme="minorBidi"/>
        </w:rPr>
      </w:pPr>
    </w:p>
    <w:bookmarkEnd w:id="0"/>
    <w:p w:rsidR="00D0597A" w:rsidRDefault="00D0597A" w:rsidP="00D0597A">
      <w:pPr>
        <w:rPr>
          <w:rFonts w:asciiTheme="minorHAnsi" w:hAnsiTheme="minorHAnsi" w:cstheme="minorBidi"/>
        </w:rPr>
      </w:pPr>
    </w:p>
    <w:p w:rsidR="004133C3" w:rsidRDefault="00D0597A"/>
    <w:sectPr w:rsidR="0041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7A"/>
    <w:rsid w:val="00971772"/>
    <w:rsid w:val="00D0597A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13F3DE-CCEE-49F3-AA24-140B15B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7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9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fe.com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.com.by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ender@life.com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Golushko Olga</dc:creator>
  <cp:keywords/>
  <dc:description/>
  <cp:lastModifiedBy>Golushko Olga</cp:lastModifiedBy>
  <cp:revision>1</cp:revision>
  <dcterms:created xsi:type="dcterms:W3CDTF">2018-11-16T13:37:00Z</dcterms:created>
  <dcterms:modified xsi:type="dcterms:W3CDTF">2018-11-16T13:37:00Z</dcterms:modified>
</cp:coreProperties>
</file>